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             IMPORTANT THEORY QUESTIONS (Past 5 years Trend)                  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                CORPORATE ACCOUNTING (B.com, 2nd Year)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Unit 1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a. Explain the uses of Security Premium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b. Meaning and Conditions for Buy Back of Equity Shares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c. Short Note on Debenture Interest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Unit 2  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a. Short Note on Transfer of Profits to Reserve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Unit 3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a. Conditions for amalgamation in the Nature of merger and purchase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b. rifference between Pooling of Interest Method and Purchase Method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c. Short Note on Purchase Consideration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Unit 4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a. Objectives of Preparing CFS 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b. Limitations of Cash Flow Statements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Unit 5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a. Significance of various Ratios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rFonts w:ascii="NanumGothic" w:eastAsia="NanumGothic" w:hAnsi="NanumGothic" w:cs="NanumGothic"/>
        </w:rPr>
        <w:t xml:space="preserve">b. Meaning of Ratio analysis and it's limitations</w:t>
      </w: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rFonts w:ascii="NanumGothic" w:eastAsia="NanumGothic" w:hAnsi="NanumGothic" w:cs="NanumGothic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471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2"/>
        <w:szCs w:val="22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59"/>
      <w:rPr/>
      <w:autoSpaceDE w:val="0"/>
      <w:autoSpaceDN w:val="0"/>
    </w:pPr>
    <w:rPr>
      <w:color w:val="auto"/>
      <w:sz w:val="22"/>
      <w:szCs w:val="22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2"/>
      <w:szCs w:val="22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105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peshalmehra</dc:creator>
  <cp:lastModifiedBy/>
</cp:coreProperties>
</file>