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      IMPORTANT THEORY QUESTIONS (Past 5 years Trend)                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         CORPORATE ACCOUNTING (B.com, 2nd Year)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Unit 1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a. Explain the uses of Security Premium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b. Meaning and Conditions for Buy Back of Equity Shares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c. Short Note on Debenture Interest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Unit 2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a. Short Note on Transfer of Profits to Reserve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Unit 3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a. Conditions for amalgamation in the Nature of merger and purchase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b. rifference between Pooling of Interest Method and Purchase Method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c. Short Note on Purchase Consideration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Unit 4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a. Objectives of Preparing CFS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b. Limitations of Cash Flow Statements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Unit 5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a. Significance of various Ratios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b. Meaning of Ratio analysis and it's limitations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105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peshalmehra</dc:creator>
  <cp:lastModifiedBy/>
</cp:coreProperties>
</file>